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71F49B81"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szCs w:val="22"/>
        </w:rPr>
        <w:tab/>
      </w:r>
      <w:r>
        <w:rPr>
          <w:b w:val="0"/>
          <w:sz w:val="22"/>
          <w:szCs w:val="22"/>
        </w:rPr>
        <w:t>Sulz am Neckar, december 2018</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4D8FBAC8" w14:textId="668EC859" w:rsidR="00A147C7" w:rsidRDefault="0017490B" w:rsidP="00A147C7">
      <w:pPr>
        <w:rPr>
          <w:rFonts w:cs="Arial"/>
          <w:sz w:val="22"/>
          <w:szCs w:val="22"/>
        </w:rPr>
      </w:pPr>
      <w:r>
        <w:rPr>
          <w:rFonts w:cs="Arial"/>
          <w:sz w:val="22"/>
          <w:szCs w:val="22"/>
        </w:rPr>
        <w:t>Tillverkade för stora antal</w:t>
      </w:r>
    </w:p>
    <w:p w14:paraId="1DFD7030" w14:textId="77777777" w:rsidR="00A147C7" w:rsidRDefault="000B16CD" w:rsidP="00A147C7">
      <w:pPr>
        <w:pStyle w:val="berschrift1"/>
      </w:pPr>
      <w:r>
        <w:t>KIPP presenterar pneumatiska spännelement</w:t>
      </w:r>
    </w:p>
    <w:p w14:paraId="1EC599A3" w14:textId="77777777" w:rsidR="00874D03" w:rsidRPr="00874D03" w:rsidRDefault="00874D03" w:rsidP="00874D03">
      <w:pPr>
        <w:rPr>
          <w:lang w:eastAsia="x-none"/>
        </w:rPr>
      </w:pPr>
    </w:p>
    <w:p w14:paraId="1DA3BE89" w14:textId="77777777" w:rsidR="000B16CD" w:rsidRPr="000B16CD" w:rsidRDefault="000B16CD" w:rsidP="000B16CD">
      <w:pPr>
        <w:spacing w:line="360" w:lineRule="auto"/>
        <w:rPr>
          <w:rFonts w:cs="Arial"/>
          <w:b/>
          <w:bCs/>
          <w:sz w:val="22"/>
          <w:szCs w:val="22"/>
        </w:rPr>
      </w:pPr>
      <w:r>
        <w:rPr>
          <w:rFonts w:cs="Arial"/>
          <w:b/>
          <w:bCs/>
          <w:sz w:val="22"/>
          <w:szCs w:val="22"/>
        </w:rPr>
        <w:t>HEINRICH KIPP WERK har utökat sitt sortiment med flera nya spännelement. De nya produkterna är pneumatiska och passar framför allt för användning i bearbetningsmaskiner. Genom delautomatiseringen förenklas processerna avsevärt.</w:t>
      </w:r>
    </w:p>
    <w:p w14:paraId="2DD149B7" w14:textId="77777777" w:rsidR="009A1A57" w:rsidRDefault="009A1A57" w:rsidP="009A1A57">
      <w:pPr>
        <w:spacing w:line="360" w:lineRule="auto"/>
        <w:rPr>
          <w:rFonts w:cs="Arial"/>
          <w:bCs/>
          <w:color w:val="000000" w:themeColor="text1"/>
          <w:sz w:val="22"/>
          <w:szCs w:val="22"/>
        </w:rPr>
      </w:pPr>
    </w:p>
    <w:p w14:paraId="5105B0F2" w14:textId="30C4ED40" w:rsidR="000B16CD" w:rsidRPr="000B16CD" w:rsidRDefault="000B16CD" w:rsidP="000B16CD">
      <w:pPr>
        <w:spacing w:line="360" w:lineRule="auto"/>
        <w:rPr>
          <w:rFonts w:cs="Arial"/>
          <w:bCs/>
          <w:color w:val="000000" w:themeColor="text1"/>
          <w:sz w:val="22"/>
          <w:szCs w:val="22"/>
        </w:rPr>
      </w:pPr>
      <w:r>
        <w:rPr>
          <w:rFonts w:cs="Arial"/>
          <w:bCs/>
          <w:color w:val="000000" w:themeColor="text1"/>
          <w:sz w:val="22"/>
          <w:szCs w:val="22"/>
        </w:rPr>
        <w:t xml:space="preserve">Den </w:t>
      </w:r>
      <w:r>
        <w:rPr>
          <w:rFonts w:cs="Arial"/>
          <w:bCs/>
          <w:i/>
          <w:color w:val="000000" w:themeColor="text1"/>
          <w:sz w:val="22"/>
          <w:szCs w:val="22"/>
        </w:rPr>
        <w:t>pneumatiska formspännaren</w:t>
      </w:r>
      <w:r>
        <w:rPr>
          <w:rFonts w:cs="Arial"/>
          <w:bCs/>
          <w:i/>
          <w:color w:val="000000" w:themeColor="text1"/>
          <w:sz w:val="22"/>
          <w:szCs w:val="22"/>
          <w:vertAlign w:val="subscript"/>
        </w:rPr>
        <w:t>1</w:t>
      </w:r>
      <w:r>
        <w:rPr>
          <w:rFonts w:cs="Arial"/>
          <w:bCs/>
          <w:color w:val="000000" w:themeColor="text1"/>
          <w:sz w:val="22"/>
          <w:szCs w:val="22"/>
        </w:rPr>
        <w:t xml:space="preserve"> består av en spännkropp (seghärdat stål) och en spännhylsa (höghållfast aluminiumstål). När man har skruvat på spännkroppen på fixturen kan spännhylsan manövreras med tryckluft via anslutningarna ”Öppna” och ”Stäng”. Eftersom det är så enkelt att byta spännhylsa spänner man snabbt och säkert fast olika arbetsstycken med oregelbundna konturer. </w:t>
      </w:r>
    </w:p>
    <w:p w14:paraId="626207FB" w14:textId="77777777" w:rsidR="000B16CD" w:rsidRPr="000B16CD" w:rsidRDefault="000B16CD" w:rsidP="000B16CD">
      <w:pPr>
        <w:spacing w:line="360" w:lineRule="auto"/>
        <w:rPr>
          <w:rFonts w:cs="Arial"/>
          <w:bCs/>
          <w:color w:val="000000" w:themeColor="text1"/>
          <w:sz w:val="22"/>
          <w:szCs w:val="22"/>
        </w:rPr>
      </w:pPr>
    </w:p>
    <w:p w14:paraId="65D920BE" w14:textId="59CAB3FC" w:rsidR="000B16CD" w:rsidRPr="00B743D7" w:rsidRDefault="000B16CD" w:rsidP="000B16CD">
      <w:pPr>
        <w:spacing w:line="360" w:lineRule="auto"/>
        <w:rPr>
          <w:rFonts w:cs="Arial"/>
          <w:bCs/>
          <w:color w:val="000000" w:themeColor="text1"/>
          <w:sz w:val="22"/>
          <w:szCs w:val="22"/>
          <w:lang w:val="x-none"/>
        </w:rPr>
      </w:pPr>
      <w:r>
        <w:rPr>
          <w:rFonts w:cs="Arial"/>
          <w:bCs/>
          <w:color w:val="000000" w:themeColor="text1"/>
          <w:sz w:val="22"/>
          <w:szCs w:val="22"/>
        </w:rPr>
        <w:t xml:space="preserve">För att den </w:t>
      </w:r>
      <w:r>
        <w:rPr>
          <w:rFonts w:cs="Arial"/>
          <w:bCs/>
          <w:i/>
          <w:color w:val="000000" w:themeColor="text1"/>
          <w:sz w:val="22"/>
          <w:szCs w:val="22"/>
        </w:rPr>
        <w:t>pneumatiska dragspännaren</w:t>
      </w:r>
      <w:r>
        <w:rPr>
          <w:rFonts w:cs="Arial"/>
          <w:bCs/>
          <w:i/>
          <w:color w:val="000000" w:themeColor="text1"/>
          <w:sz w:val="22"/>
          <w:szCs w:val="22"/>
          <w:vertAlign w:val="subscript"/>
        </w:rPr>
        <w:t>2</w:t>
      </w:r>
      <w:r>
        <w:rPr>
          <w:rFonts w:cs="Arial"/>
          <w:bCs/>
          <w:color w:val="000000" w:themeColor="text1"/>
          <w:sz w:val="22"/>
          <w:szCs w:val="22"/>
        </w:rPr>
        <w:t xml:space="preserve"> ska kunna användas måste en spännbult skruvas fast i arbetsstycket. Därefter öppnas och stängs den med hjälp av tryckluft i de märkta anslutningarna. Man kan dessutom kontrollera om arbetsstycket ligger an mot kontaktytan. Den </w:t>
      </w:r>
      <w:r>
        <w:rPr>
          <w:rFonts w:cs="Arial"/>
          <w:bCs/>
          <w:i/>
          <w:color w:val="000000" w:themeColor="text1"/>
          <w:sz w:val="22"/>
          <w:szCs w:val="22"/>
        </w:rPr>
        <w:t>pneumatiska dragspännaren</w:t>
      </w:r>
      <w:r>
        <w:rPr>
          <w:rFonts w:cs="Arial"/>
          <w:bCs/>
          <w:i/>
          <w:color w:val="000000" w:themeColor="text1"/>
          <w:sz w:val="22"/>
          <w:szCs w:val="22"/>
          <w:vertAlign w:val="subscript"/>
        </w:rPr>
        <w:t>2</w:t>
      </w:r>
      <w:r>
        <w:rPr>
          <w:rFonts w:cs="Arial"/>
          <w:bCs/>
          <w:color w:val="000000" w:themeColor="text1"/>
          <w:sz w:val="22"/>
          <w:szCs w:val="22"/>
        </w:rPr>
        <w:t xml:space="preserve"> kan även användas som nollpunktsspännsystem.</w:t>
      </w:r>
    </w:p>
    <w:p w14:paraId="55C9FCD4" w14:textId="77777777" w:rsidR="000B16CD" w:rsidRPr="000B16CD" w:rsidRDefault="000B16CD" w:rsidP="000B16CD">
      <w:pPr>
        <w:spacing w:line="360" w:lineRule="auto"/>
        <w:rPr>
          <w:rFonts w:cs="Arial"/>
          <w:bCs/>
          <w:color w:val="000000" w:themeColor="text1"/>
          <w:sz w:val="22"/>
          <w:szCs w:val="22"/>
        </w:rPr>
      </w:pPr>
    </w:p>
    <w:p w14:paraId="40F528C2" w14:textId="1860F136" w:rsidR="009F42C3" w:rsidRDefault="000B16CD" w:rsidP="000B16CD">
      <w:pPr>
        <w:spacing w:line="360" w:lineRule="auto"/>
        <w:rPr>
          <w:rFonts w:cs="Arial"/>
          <w:bCs/>
          <w:color w:val="000000" w:themeColor="text1"/>
          <w:sz w:val="22"/>
          <w:szCs w:val="22"/>
        </w:rPr>
      </w:pPr>
      <w:r>
        <w:rPr>
          <w:rFonts w:cs="Arial"/>
          <w:bCs/>
          <w:color w:val="000000" w:themeColor="text1"/>
          <w:sz w:val="22"/>
          <w:szCs w:val="22"/>
        </w:rPr>
        <w:t xml:space="preserve">En tydlig skillnad mellan de </w:t>
      </w:r>
      <w:r>
        <w:rPr>
          <w:rFonts w:cs="Arial"/>
          <w:bCs/>
          <w:i/>
          <w:color w:val="000000" w:themeColor="text1"/>
          <w:sz w:val="22"/>
          <w:szCs w:val="22"/>
        </w:rPr>
        <w:t>pneumatiska neddragande spännarna</w:t>
      </w:r>
      <w:r>
        <w:rPr>
          <w:rFonts w:cs="Arial"/>
          <w:bCs/>
          <w:i/>
          <w:color w:val="000000" w:themeColor="text1"/>
          <w:sz w:val="22"/>
          <w:szCs w:val="22"/>
          <w:vertAlign w:val="subscript"/>
        </w:rPr>
        <w:t>3</w:t>
      </w:r>
      <w:r>
        <w:rPr>
          <w:rFonts w:cs="Arial"/>
          <w:bCs/>
          <w:color w:val="000000" w:themeColor="text1"/>
          <w:sz w:val="22"/>
          <w:szCs w:val="22"/>
        </w:rPr>
        <w:t xml:space="preserve">, </w:t>
      </w:r>
      <w:r>
        <w:rPr>
          <w:rFonts w:cs="Arial"/>
          <w:bCs/>
          <w:i/>
          <w:color w:val="000000" w:themeColor="text1"/>
          <w:sz w:val="22"/>
          <w:szCs w:val="22"/>
        </w:rPr>
        <w:t>svängspännarna</w:t>
      </w:r>
      <w:r>
        <w:rPr>
          <w:rFonts w:cs="Arial"/>
          <w:bCs/>
          <w:i/>
          <w:color w:val="000000" w:themeColor="text1"/>
          <w:sz w:val="22"/>
          <w:szCs w:val="22"/>
          <w:vertAlign w:val="subscript"/>
        </w:rPr>
        <w:t>4</w:t>
      </w:r>
      <w:r>
        <w:rPr>
          <w:rFonts w:cs="Arial"/>
          <w:bCs/>
          <w:color w:val="000000" w:themeColor="text1"/>
          <w:sz w:val="22"/>
          <w:szCs w:val="22"/>
        </w:rPr>
        <w:t xml:space="preserve"> och </w:t>
      </w:r>
      <w:r>
        <w:rPr>
          <w:rFonts w:cs="Arial"/>
          <w:bCs/>
          <w:i/>
          <w:color w:val="000000" w:themeColor="text1"/>
          <w:sz w:val="22"/>
          <w:szCs w:val="22"/>
        </w:rPr>
        <w:t>sidospännarna</w:t>
      </w:r>
      <w:r>
        <w:rPr>
          <w:rFonts w:cs="Arial"/>
          <w:bCs/>
          <w:i/>
          <w:color w:val="000000" w:themeColor="text1"/>
          <w:sz w:val="22"/>
          <w:szCs w:val="22"/>
          <w:vertAlign w:val="subscript"/>
        </w:rPr>
        <w:t>5</w:t>
      </w:r>
      <w:r>
        <w:rPr>
          <w:rFonts w:cs="Arial"/>
          <w:bCs/>
          <w:color w:val="000000" w:themeColor="text1"/>
          <w:sz w:val="22"/>
          <w:szCs w:val="22"/>
        </w:rPr>
        <w:t xml:space="preserve"> är riktningen i vilken arbetsstyckena spänns fast. För </w:t>
      </w:r>
      <w:r>
        <w:rPr>
          <w:rFonts w:cs="Arial"/>
          <w:bCs/>
          <w:i/>
          <w:color w:val="000000" w:themeColor="text1"/>
          <w:sz w:val="22"/>
          <w:szCs w:val="22"/>
        </w:rPr>
        <w:t>pneumatiska neddragande spännare</w:t>
      </w:r>
      <w:r>
        <w:rPr>
          <w:rFonts w:cs="Arial"/>
          <w:bCs/>
          <w:i/>
          <w:color w:val="000000" w:themeColor="text1"/>
          <w:sz w:val="22"/>
          <w:szCs w:val="22"/>
          <w:vertAlign w:val="subscript"/>
        </w:rPr>
        <w:t xml:space="preserve">3 </w:t>
      </w:r>
      <w:r>
        <w:rPr>
          <w:rFonts w:cs="Arial"/>
          <w:bCs/>
          <w:color w:val="000000" w:themeColor="text1"/>
          <w:sz w:val="22"/>
          <w:szCs w:val="22"/>
        </w:rPr>
        <w:t xml:space="preserve">sker fastspänningen uppifrån. Den </w:t>
      </w:r>
      <w:r>
        <w:rPr>
          <w:rFonts w:cs="Arial"/>
          <w:bCs/>
          <w:i/>
          <w:color w:val="000000" w:themeColor="text1"/>
          <w:sz w:val="22"/>
          <w:szCs w:val="22"/>
        </w:rPr>
        <w:t>pneumatiska svängspännaren</w:t>
      </w:r>
      <w:r>
        <w:rPr>
          <w:rFonts w:cs="Arial"/>
          <w:bCs/>
          <w:i/>
          <w:color w:val="000000" w:themeColor="text1"/>
          <w:sz w:val="22"/>
          <w:szCs w:val="22"/>
          <w:vertAlign w:val="subscript"/>
        </w:rPr>
        <w:t>4</w:t>
      </w:r>
      <w:r>
        <w:rPr>
          <w:rFonts w:cs="Arial"/>
          <w:bCs/>
          <w:color w:val="000000" w:themeColor="text1"/>
          <w:sz w:val="22"/>
          <w:szCs w:val="22"/>
        </w:rPr>
        <w:t xml:space="preserve"> har en svängfunktion som gör att arbetsstycken kan läggas i, tas ur och spännas fast fritt uppifrån. Den </w:t>
      </w:r>
      <w:r>
        <w:rPr>
          <w:rFonts w:cs="Arial"/>
          <w:bCs/>
          <w:i/>
          <w:sz w:val="22"/>
          <w:szCs w:val="22"/>
        </w:rPr>
        <w:t>pneumatiska sidospännaren</w:t>
      </w:r>
      <w:r>
        <w:rPr>
          <w:rFonts w:cs="Arial"/>
          <w:bCs/>
          <w:i/>
          <w:sz w:val="22"/>
          <w:szCs w:val="22"/>
          <w:vertAlign w:val="subscript"/>
        </w:rPr>
        <w:t>5</w:t>
      </w:r>
      <w:r>
        <w:rPr>
          <w:rFonts w:cs="Arial"/>
          <w:bCs/>
          <w:color w:val="000000" w:themeColor="text1"/>
          <w:sz w:val="22"/>
          <w:szCs w:val="22"/>
        </w:rPr>
        <w:t xml:space="preserve"> ger optimal åtkomst: eftersom fastspänningen sker på sidan är den övre bearbetningsytan fri från störande kanter.</w:t>
      </w:r>
    </w:p>
    <w:p w14:paraId="182968DB" w14:textId="77777777" w:rsidR="000B16CD" w:rsidRPr="000B16CD" w:rsidRDefault="000B16CD" w:rsidP="000B16CD">
      <w:pPr>
        <w:spacing w:line="360" w:lineRule="auto"/>
        <w:rPr>
          <w:rFonts w:cs="Arial"/>
          <w:bCs/>
          <w:color w:val="000000" w:themeColor="text1"/>
          <w:sz w:val="22"/>
          <w:szCs w:val="22"/>
        </w:rPr>
      </w:pPr>
    </w:p>
    <w:p w14:paraId="07A84CE3" w14:textId="77777777" w:rsidR="00D91134" w:rsidRPr="00EC7F30" w:rsidRDefault="00D91134" w:rsidP="00D91134">
      <w:pPr>
        <w:rPr>
          <w:rFonts w:cs="Arial"/>
          <w:sz w:val="20"/>
          <w:u w:val="single"/>
        </w:rPr>
      </w:pPr>
      <w:r>
        <w:rPr>
          <w:rFonts w:cs="Arial"/>
          <w:sz w:val="20"/>
          <w:u w:val="single"/>
        </w:rPr>
        <w:t>Tecken:</w:t>
      </w:r>
    </w:p>
    <w:p w14:paraId="5E9A6433" w14:textId="257F431A" w:rsidR="00D91134" w:rsidRPr="0063409C" w:rsidRDefault="00DD21E2" w:rsidP="00D91134">
      <w:pPr>
        <w:tabs>
          <w:tab w:val="right" w:pos="2410"/>
        </w:tabs>
        <w:rPr>
          <w:rFonts w:cs="Arial"/>
          <w:sz w:val="20"/>
        </w:rPr>
      </w:pPr>
      <w:r>
        <w:rPr>
          <w:rFonts w:cs="Arial"/>
          <w:sz w:val="20"/>
        </w:rPr>
        <w:t>Headline:</w:t>
      </w:r>
      <w:r>
        <w:rPr>
          <w:rFonts w:cs="Arial"/>
          <w:sz w:val="20"/>
        </w:rPr>
        <w:tab/>
        <w:t>41</w:t>
      </w:r>
      <w:r w:rsidR="00D91134">
        <w:rPr>
          <w:rFonts w:cs="Arial"/>
          <w:sz w:val="20"/>
        </w:rPr>
        <w:t xml:space="preserve"> tecken</w:t>
      </w:r>
    </w:p>
    <w:p w14:paraId="6402DA28" w14:textId="79C7B3BA" w:rsidR="00D91134" w:rsidRPr="0063409C" w:rsidRDefault="00DD21E2" w:rsidP="00D91134">
      <w:pPr>
        <w:tabs>
          <w:tab w:val="right" w:pos="2410"/>
        </w:tabs>
        <w:rPr>
          <w:rFonts w:cs="Arial"/>
          <w:sz w:val="20"/>
        </w:rPr>
      </w:pPr>
      <w:r>
        <w:rPr>
          <w:rFonts w:cs="Arial"/>
          <w:sz w:val="20"/>
        </w:rPr>
        <w:t>Pre-head:</w:t>
      </w:r>
      <w:r>
        <w:rPr>
          <w:rFonts w:cs="Arial"/>
          <w:sz w:val="20"/>
        </w:rPr>
        <w:tab/>
        <w:t>27</w:t>
      </w:r>
      <w:r w:rsidR="0008715A">
        <w:rPr>
          <w:rFonts w:cs="Arial"/>
          <w:sz w:val="20"/>
        </w:rPr>
        <w:t xml:space="preserve"> tecken</w:t>
      </w:r>
    </w:p>
    <w:p w14:paraId="5C78245E" w14:textId="4AF5EDB7" w:rsidR="00D91134" w:rsidRPr="0063409C" w:rsidRDefault="00D91134" w:rsidP="00D91134">
      <w:pPr>
        <w:tabs>
          <w:tab w:val="right" w:pos="2410"/>
        </w:tabs>
        <w:rPr>
          <w:rFonts w:cs="Arial"/>
          <w:sz w:val="20"/>
        </w:rPr>
      </w:pPr>
      <w:r>
        <w:rPr>
          <w:rFonts w:cs="Arial"/>
          <w:sz w:val="20"/>
        </w:rPr>
        <w:t>Text:</w:t>
      </w:r>
      <w:r>
        <w:rPr>
          <w:rFonts w:cs="Arial"/>
          <w:sz w:val="20"/>
        </w:rPr>
        <w:tab/>
      </w:r>
      <w:r w:rsidR="00DD21E2">
        <w:rPr>
          <w:rFonts w:cs="Arial"/>
          <w:sz w:val="20"/>
        </w:rPr>
        <w:t>1 436</w:t>
      </w:r>
      <w:r>
        <w:rPr>
          <w:rFonts w:cs="Arial"/>
          <w:sz w:val="20"/>
        </w:rPr>
        <w:t xml:space="preserve"> tecken</w:t>
      </w:r>
    </w:p>
    <w:p w14:paraId="08182350" w14:textId="30096BA7" w:rsidR="00D91134" w:rsidRPr="003274EE" w:rsidRDefault="00DD21E2" w:rsidP="00D91134">
      <w:pPr>
        <w:tabs>
          <w:tab w:val="right" w:pos="2410"/>
        </w:tabs>
        <w:rPr>
          <w:rFonts w:cs="Arial"/>
          <w:sz w:val="20"/>
        </w:rPr>
      </w:pPr>
      <w:r>
        <w:rPr>
          <w:rFonts w:cs="Arial"/>
          <w:sz w:val="20"/>
        </w:rPr>
        <w:t>Totalt:</w:t>
      </w:r>
      <w:r>
        <w:rPr>
          <w:rFonts w:cs="Arial"/>
          <w:sz w:val="20"/>
        </w:rPr>
        <w:tab/>
        <w:t>1 504</w:t>
      </w:r>
      <w:r w:rsidR="00D91134">
        <w:rPr>
          <w:rFonts w:cs="Arial"/>
          <w:sz w:val="20"/>
        </w:rPr>
        <w:t xml:space="preserve"> tecken</w:t>
      </w:r>
    </w:p>
    <w:p w14:paraId="71776FD1" w14:textId="77777777" w:rsidR="002B0239" w:rsidRDefault="002B0239" w:rsidP="00874552">
      <w:pPr>
        <w:rPr>
          <w:rFonts w:cs="Arial"/>
          <w:sz w:val="20"/>
        </w:rPr>
      </w:pPr>
    </w:p>
    <w:p w14:paraId="49E4EC4C" w14:textId="77777777" w:rsidR="00874552" w:rsidRPr="003274EE" w:rsidRDefault="00874552" w:rsidP="00874552">
      <w:pPr>
        <w:rPr>
          <w:rFonts w:cs="Arial"/>
          <w:sz w:val="20"/>
        </w:rPr>
      </w:pPr>
      <w:r>
        <w:rPr>
          <w:rFonts w:cs="Arial"/>
          <w:sz w:val="20"/>
        </w:rPr>
        <w:t>HEINRICH KIPP WERK KG</w:t>
      </w:r>
    </w:p>
    <w:p w14:paraId="6E4A037C" w14:textId="77777777" w:rsidR="00874552" w:rsidRPr="003274EE" w:rsidRDefault="00874552" w:rsidP="00874552">
      <w:pPr>
        <w:rPr>
          <w:rFonts w:cs="Arial"/>
          <w:sz w:val="20"/>
        </w:rPr>
      </w:pPr>
      <w:r>
        <w:rPr>
          <w:rFonts w:cs="Arial"/>
          <w:sz w:val="20"/>
        </w:rPr>
        <w:t>Henrik Bäckström</w:t>
      </w:r>
    </w:p>
    <w:p w14:paraId="2874B11F" w14:textId="77777777" w:rsidR="00874552" w:rsidRPr="003274EE" w:rsidRDefault="00874552" w:rsidP="00874552">
      <w:pPr>
        <w:rPr>
          <w:rFonts w:cs="Arial"/>
          <w:sz w:val="20"/>
        </w:rPr>
      </w:pPr>
      <w:r>
        <w:rPr>
          <w:rFonts w:cs="Arial"/>
          <w:sz w:val="20"/>
        </w:rPr>
        <w:t>Zakrisdalsvägen 26</w:t>
      </w:r>
    </w:p>
    <w:p w14:paraId="1FBBBC85" w14:textId="77777777" w:rsidR="00874552" w:rsidRPr="003274EE" w:rsidRDefault="00874552" w:rsidP="00874552">
      <w:pPr>
        <w:rPr>
          <w:rFonts w:cs="Arial"/>
          <w:sz w:val="20"/>
        </w:rPr>
      </w:pPr>
      <w:r>
        <w:rPr>
          <w:rFonts w:cs="Arial"/>
          <w:sz w:val="20"/>
        </w:rPr>
        <w:t>653 42 Karlstad</w:t>
      </w:r>
    </w:p>
    <w:p w14:paraId="003BEE05" w14:textId="77777777" w:rsidR="00874552" w:rsidRPr="003274EE" w:rsidRDefault="00874552" w:rsidP="00874552">
      <w:pPr>
        <w:rPr>
          <w:rFonts w:cs="Arial"/>
          <w:sz w:val="20"/>
        </w:rPr>
      </w:pPr>
    </w:p>
    <w:p w14:paraId="1626F608" w14:textId="74ED0761" w:rsidR="00874552" w:rsidRPr="003274EE" w:rsidRDefault="00631DE0" w:rsidP="00874552">
      <w:pPr>
        <w:rPr>
          <w:rFonts w:cs="Arial"/>
          <w:sz w:val="20"/>
        </w:rPr>
      </w:pPr>
      <w:r>
        <w:rPr>
          <w:rFonts w:cs="Arial"/>
          <w:sz w:val="20"/>
        </w:rPr>
        <w:t xml:space="preserve">Telefon: </w:t>
      </w:r>
      <w:bookmarkStart w:id="0" w:name="_GoBack"/>
      <w:bookmarkEnd w:id="0"/>
      <w:r w:rsidR="00CA5326">
        <w:rPr>
          <w:rFonts w:cs="Arial"/>
          <w:sz w:val="20"/>
        </w:rPr>
        <w:t>+46 54 565 500</w:t>
      </w:r>
    </w:p>
    <w:p w14:paraId="6FB95DEE" w14:textId="77777777" w:rsidR="00F94190" w:rsidRPr="00F117B2" w:rsidRDefault="00874552" w:rsidP="00F117B2">
      <w:pPr>
        <w:rPr>
          <w:sz w:val="20"/>
          <w:szCs w:val="20"/>
        </w:rPr>
      </w:pPr>
      <w:r>
        <w:rPr>
          <w:sz w:val="20"/>
          <w:szCs w:val="20"/>
        </w:rPr>
        <w:t>E-post: henrik.backstrom@kipp.com</w:t>
      </w:r>
    </w:p>
    <w:p w14:paraId="3555778B" w14:textId="77777777" w:rsidR="00DB3BF0" w:rsidRDefault="00DB3BF0">
      <w:pPr>
        <w:rPr>
          <w:noProof/>
        </w:rPr>
      </w:pPr>
    </w:p>
    <w:p w14:paraId="7EB7BFE1" w14:textId="77777777" w:rsidR="002C0D3D" w:rsidRDefault="002C0D3D" w:rsidP="002C0D3D"/>
    <w:p w14:paraId="6A491DA3" w14:textId="77777777" w:rsidR="00CA5326" w:rsidRPr="003274EE" w:rsidRDefault="00CA5326" w:rsidP="002C0D3D">
      <w:r>
        <w:t>Mer information och bilder</w:t>
      </w:r>
    </w:p>
    <w:p w14:paraId="1202DCA5" w14:textId="77777777" w:rsidR="00CA5326" w:rsidRDefault="00CA5326" w:rsidP="00CA5326">
      <w:pPr>
        <w:rPr>
          <w:sz w:val="20"/>
        </w:rPr>
      </w:pPr>
      <w:r>
        <w:rPr>
          <w:sz w:val="20"/>
        </w:rPr>
        <w:t>Se www.kipp.se, Tyskland, News/Pressmeddelanden</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t>Foton</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577"/>
        <w:gridCol w:w="4308"/>
      </w:tblGrid>
      <w:tr w:rsidR="000B16CD" w:rsidRPr="00BA30D1" w14:paraId="7D5D3FB1" w14:textId="77777777" w:rsidTr="00C22334">
        <w:tc>
          <w:tcPr>
            <w:tcW w:w="5699" w:type="dxa"/>
          </w:tcPr>
          <w:p w14:paraId="1560C240" w14:textId="69485063"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KIPP presenterar pneumatiska spännelement</w:t>
            </w:r>
            <w:r>
              <w:rPr>
                <w:sz w:val="20"/>
              </w:rPr>
              <w:t xml:space="preserve"> </w:t>
            </w:r>
          </w:p>
          <w:p w14:paraId="3C08D390" w14:textId="7DF9093F" w:rsidR="00CA5326" w:rsidRPr="00362FE9" w:rsidRDefault="00D67243" w:rsidP="00190126">
            <w:pPr>
              <w:rPr>
                <w:sz w:val="20"/>
              </w:rPr>
            </w:pPr>
            <w:r>
              <w:rPr>
                <w:noProof/>
                <w:sz w:val="20"/>
              </w:rPr>
              <w:drawing>
                <wp:inline distT="0" distB="0" distL="0" distR="0" wp14:anchorId="55E4A3F5" wp14:editId="5B60CA23">
                  <wp:extent cx="3343203" cy="22282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Spannelemente pneumatisch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83" cy="2235066"/>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Bildfil: </w:t>
            </w:r>
          </w:p>
          <w:p w14:paraId="60D3F84F" w14:textId="2A90FE5E" w:rsidR="006E7771" w:rsidRDefault="000B16CD" w:rsidP="00532DCE">
            <w:pPr>
              <w:rPr>
                <w:sz w:val="20"/>
              </w:rPr>
            </w:pPr>
            <w:r>
              <w:rPr>
                <w:sz w:val="20"/>
              </w:rPr>
              <w:t>KIPP_Spannelemente_pneumatisch_2018.jpg</w:t>
            </w:r>
          </w:p>
          <w:p w14:paraId="3EE9CE02" w14:textId="77777777" w:rsidR="006E7771" w:rsidRDefault="006E7771" w:rsidP="00532DCE">
            <w:pPr>
              <w:rPr>
                <w:sz w:val="20"/>
              </w:rPr>
            </w:pPr>
          </w:p>
          <w:p w14:paraId="58B2F9A0" w14:textId="0628D407" w:rsidR="003D2C93" w:rsidRDefault="006E7771" w:rsidP="00532DCE">
            <w:pPr>
              <w:rPr>
                <w:sz w:val="20"/>
              </w:rPr>
            </w:pPr>
            <w:r>
              <w:rPr>
                <w:sz w:val="20"/>
              </w:rPr>
              <w:t>K1392 Formspännare pneumatiska</w:t>
            </w:r>
            <w:r>
              <w:rPr>
                <w:sz w:val="20"/>
                <w:vertAlign w:val="subscript"/>
              </w:rPr>
              <w:t>1</w:t>
            </w:r>
          </w:p>
          <w:p w14:paraId="779EC042" w14:textId="77777777" w:rsidR="00627ED3" w:rsidRDefault="00627ED3" w:rsidP="00627ED3">
            <w:pPr>
              <w:rPr>
                <w:sz w:val="20"/>
              </w:rPr>
            </w:pPr>
            <w:r>
              <w:rPr>
                <w:sz w:val="20"/>
              </w:rPr>
              <w:t>K1390 Dragspännare pneumatiska</w:t>
            </w:r>
            <w:r>
              <w:rPr>
                <w:sz w:val="20"/>
                <w:vertAlign w:val="subscript"/>
              </w:rPr>
              <w:t>2</w:t>
            </w:r>
          </w:p>
          <w:p w14:paraId="1AD18DB6" w14:textId="77777777" w:rsidR="00627ED3" w:rsidRDefault="00627ED3" w:rsidP="00627ED3">
            <w:pPr>
              <w:rPr>
                <w:sz w:val="20"/>
              </w:rPr>
            </w:pPr>
            <w:r>
              <w:rPr>
                <w:sz w:val="20"/>
              </w:rPr>
              <w:t>K1409 Neddragande spännare pneumatiska</w:t>
            </w:r>
            <w:r>
              <w:rPr>
                <w:sz w:val="20"/>
                <w:vertAlign w:val="subscript"/>
              </w:rPr>
              <w:t>3</w:t>
            </w:r>
          </w:p>
          <w:p w14:paraId="651F6057" w14:textId="1B87E7DA" w:rsidR="005C26EE" w:rsidRDefault="005C26EE" w:rsidP="005C26EE">
            <w:pPr>
              <w:rPr>
                <w:sz w:val="20"/>
              </w:rPr>
            </w:pPr>
            <w:r>
              <w:rPr>
                <w:sz w:val="20"/>
              </w:rPr>
              <w:t>K1388 Svängspännare pneumatiska</w:t>
            </w:r>
            <w:r>
              <w:rPr>
                <w:sz w:val="20"/>
                <w:vertAlign w:val="subscript"/>
              </w:rPr>
              <w:t>4</w:t>
            </w:r>
          </w:p>
          <w:p w14:paraId="7FBFD50D" w14:textId="74BD668E" w:rsidR="0016288D" w:rsidRPr="00DB3BF0" w:rsidRDefault="0016288D" w:rsidP="0016288D">
            <w:pPr>
              <w:rPr>
                <w:sz w:val="20"/>
              </w:rPr>
            </w:pPr>
            <w:r>
              <w:rPr>
                <w:sz w:val="20"/>
              </w:rPr>
              <w:t>K1410 Sidospännare pneumatiska</w:t>
            </w:r>
            <w:r>
              <w:rPr>
                <w:sz w:val="20"/>
                <w:vertAlign w:val="subscript"/>
              </w:rPr>
              <w:t>5</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Pr="00DD21E2" w:rsidRDefault="00CA5326" w:rsidP="00CA5326">
      <w:pPr>
        <w:ind w:left="-79"/>
        <w:rPr>
          <w:sz w:val="16"/>
          <w:szCs w:val="16"/>
          <w:lang w:val="en-US"/>
        </w:rPr>
      </w:pPr>
      <w:r w:rsidRPr="00DD21E2">
        <w:rPr>
          <w:sz w:val="16"/>
          <w:szCs w:val="16"/>
          <w:lang w:val="en-US"/>
        </w:rPr>
        <w:t xml:space="preserve">Bildrättigheter: får publiceras licens- och honorarfritt i fackmedia. </w:t>
      </w:r>
    </w:p>
    <w:p w14:paraId="36B28B2A" w14:textId="2F57AC87" w:rsidR="00783817" w:rsidRPr="00326861" w:rsidRDefault="00CA5326" w:rsidP="006E7771">
      <w:pPr>
        <w:ind w:left="-79"/>
        <w:jc w:val="both"/>
        <w:rPr>
          <w:sz w:val="16"/>
          <w:szCs w:val="16"/>
        </w:rPr>
      </w:pPr>
      <w:r>
        <w:rPr>
          <w:sz w:val="16"/>
          <w:szCs w:val="16"/>
        </w:rPr>
        <w:t xml:space="preserve">Ange </w:t>
      </w:r>
      <w:proofErr w:type="gramStart"/>
      <w:r>
        <w:rPr>
          <w:sz w:val="16"/>
          <w:szCs w:val="16"/>
        </w:rPr>
        <w:t>dock</w:t>
      </w:r>
      <w:proofErr w:type="gramEnd"/>
      <w:r>
        <w:rPr>
          <w:sz w:val="16"/>
          <w:szCs w:val="16"/>
        </w:rPr>
        <w:t xml:space="preserve"> gärna källan.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31DE0">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16CD"/>
    <w:rsid w:val="000B2E15"/>
    <w:rsid w:val="000B3A09"/>
    <w:rsid w:val="000C2BCB"/>
    <w:rsid w:val="000C3B6A"/>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1DE0"/>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3C72"/>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407B5"/>
    <w:rsid w:val="00D610DD"/>
    <w:rsid w:val="00D67243"/>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1E2"/>
    <w:rsid w:val="00DD2D5D"/>
    <w:rsid w:val="00DD7BB1"/>
    <w:rsid w:val="00DE4BEA"/>
    <w:rsid w:val="00DE744E"/>
    <w:rsid w:val="00DF62AB"/>
    <w:rsid w:val="00E02875"/>
    <w:rsid w:val="00E049CC"/>
    <w:rsid w:val="00E11211"/>
    <w:rsid w:val="00E318C4"/>
    <w:rsid w:val="00E31E1D"/>
    <w:rsid w:val="00E54B84"/>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69B-3283-45C1-9E9D-E081997B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A2E04B99.dotm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2018-11-07T07:18:00Z</cp:lastPrinted>
  <dcterms:created xsi:type="dcterms:W3CDTF">2018-11-07T09:47:00Z</dcterms:created>
  <dcterms:modified xsi:type="dcterms:W3CDTF">2019-02-28T12:29:00Z</dcterms:modified>
</cp:coreProperties>
</file>